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附件11</w:t>
      </w:r>
    </w:p>
    <w:p>
      <w:pPr>
        <w:snapToGrid w:val="0"/>
        <w:spacing w:line="540" w:lineRule="exact"/>
        <w:ind w:firstLine="708" w:firstLineChars="200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投诉处理制度（参考式样）</w:t>
      </w:r>
    </w:p>
    <w:bookmarkEnd w:id="0"/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为规范学校食堂食品安全投诉受理，保障师生餐饮食品安全，根据《食品安全法》、《食品安全法实施条例》和《餐饮服务食品安全监督管理办法》等法律、法规及规章，制定本制度。</w:t>
      </w:r>
    </w:p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1. 在学校食堂就餐场所公布投诉电话或设立投诉意见箱。</w:t>
      </w:r>
    </w:p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2. 食品安全管理员负责投诉受理工作，接到投诉后，要认真记录，及时向餐饮食品安全管理机构负责人汇报，并按要求做好调查、处理和反馈工作。</w:t>
      </w:r>
    </w:p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3. 对重大食品安全隐患的投诉，应由学校食堂餐饮食品安全第一责任人负责牵头，成立调查小组，开展调查处理工作，必要时向监管部门报告。</w:t>
      </w:r>
    </w:p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 xml:space="preserve">4. 如有疑似食物中毒人员进行投诉的，应做好下列工作： </w:t>
      </w:r>
    </w:p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（1）立即停止供餐活动，在2小时内报告所在地食品药品监管部门及教育行政部门；</w:t>
      </w:r>
    </w:p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（2）积极组织开展救治工作；</w:t>
      </w:r>
    </w:p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（3）保存造成食品安全事故或者可能导致食品安全事故的食品及其原料、工具、设备，并保护现场；</w:t>
      </w:r>
    </w:p>
    <w:p>
      <w:pPr>
        <w:snapToGrid w:val="0"/>
        <w:spacing w:line="540" w:lineRule="exact"/>
        <w:ind w:firstLine="468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（4）配合有关部门进行事故调查，按要求如实提供有关材料和样品；</w:t>
      </w:r>
    </w:p>
    <w:p>
      <w:pPr>
        <w:snapToGrid w:val="0"/>
        <w:spacing w:line="540" w:lineRule="exact"/>
        <w:ind w:firstLine="468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（5）采取有效措施，防止事态扩大。</w:t>
      </w:r>
    </w:p>
    <w:p>
      <w:pPr>
        <w:adjustRightInd w:val="0"/>
        <w:spacing w:line="54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bCs/>
          <w:szCs w:val="20"/>
        </w:rPr>
        <w:t>附件12</w:t>
      </w:r>
    </w:p>
    <w:p>
      <w:pPr>
        <w:adjustRightInd w:val="0"/>
        <w:spacing w:line="540" w:lineRule="exact"/>
        <w:jc w:val="center"/>
        <w:rPr>
          <w:rFonts w:hint="eastAsia" w:ascii="宋体" w:hAnsi="宋体" w:eastAsia="宋体" w:cs="方正小标宋简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学校食堂餐饮食品安全自查建议项目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00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   目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检  查  内  容</w:t>
            </w:r>
          </w:p>
        </w:tc>
        <w:tc>
          <w:tcPr>
            <w:tcW w:w="981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环境卫生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厨房内墙壁、天花板、门窗等是否有涂层脱落或破损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食堂就餐、加工及贮存场所环境是否整洁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防蝇、防鼠、防尘设施是否有效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废弃物处理是否符合要求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加工过程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加工用设施、设备工具是否清洁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食物热加工中心温度是否大于70℃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10℃-60℃存放的食物，烹调后至食用前存放时间是否超过2小时；存放时间超过2小时的食用前是否经充分加热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食品原料、半成品、成品存放是否存在交叉污染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专间操作是否符合要求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清洗消毒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餐用具是否有效清洗消毒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清洗消毒水池是否与其他用途水池混用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消毒后餐具是否贮存在清洁专用保洁柜内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个人卫生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从业人员操作时是否穿戴清洁工作衣帽，专间操作人员是否规范佩戴口罩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从业人员操作前及接触不洁物品后是否洗手，接触直接入口食品之前是否洗手、消毒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从业人员操作时是否有从事与食品加工无关的行为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从业人员是否留长指甲或涂指甲油、戴戒指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健康管理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从业人员是否有取得有效健康、培训证明上岗操作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从业人员是否患有有碍食品安全的疾患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食品采购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是否落实进货索票索证及查验制度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食品及原料是否符合食品安全要求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食品贮存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库房存放食品是否离地隔墙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冷冻、冷藏设施是否能正常运转，贮存温度是否符合要求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食品贮存是否存在生熟混放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食品或原料是否与有毒有害物品存放在同一场所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违禁食品</w:t>
            </w:r>
          </w:p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是否经营超过保质期食品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是否经营腐败变质食品</w:t>
            </w:r>
          </w:p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34" w:type="dxa"/>
            <w:vMerge w:val="continue"/>
            <w:vAlign w:val="center"/>
          </w:tcPr>
          <w:p/>
        </w:tc>
        <w:tc>
          <w:tcPr>
            <w:tcW w:w="6003" w:type="dxa"/>
            <w:vAlign w:val="center"/>
          </w:tcPr>
          <w:p>
            <w:pPr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是否经营其他违禁食品</w:t>
            </w:r>
          </w:p>
        </w:tc>
        <w:tc>
          <w:tcPr>
            <w:tcW w:w="981" w:type="dxa"/>
            <w:vAlign w:val="center"/>
          </w:tcPr>
          <w:p/>
        </w:tc>
      </w:tr>
    </w:tbl>
    <w:p/>
    <w:p/>
    <w:sectPr>
      <w:pgSz w:w="11906" w:h="16838"/>
      <w:pgMar w:top="1247" w:right="1474" w:bottom="1474" w:left="1247" w:header="851" w:footer="1021" w:gutter="0"/>
      <w:pgNumType w:fmt="numberInDash"/>
      <w:cols w:space="720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7A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058F57AB"/>
    <w:rsid w:val="1F3E5153"/>
    <w:rsid w:val="2B143BB9"/>
    <w:rsid w:val="351C27B0"/>
    <w:rsid w:val="3B212110"/>
    <w:rsid w:val="3C2A03C4"/>
    <w:rsid w:val="3C4734F1"/>
    <w:rsid w:val="41872D8F"/>
    <w:rsid w:val="4D66378A"/>
    <w:rsid w:val="6FDD2296"/>
    <w:rsid w:val="7A5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366059F889AF4B429F1379D540C4DB6F_13</vt:lpwstr>
  </property>
</Properties>
</file>